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bookmarkStart w:id="0" w:name="_GoBack" w:displacedByCustomXml="prev"/>
        <w:bookmarkEnd w:id="0" w:displacedByCustomXml="prev"/>
        <w:p w:rsidR="0049164E" w:rsidRDefault="005C5414"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35216CB" id="Rectangle 4" o:spid="_x0000_s1026" alt="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019BA" w:rsidRPr="00DA2B39" w:rsidRDefault="00C019BA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 w:rsidRPr="00DA2B39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Chapitre </w:t>
                                    </w: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2340</w:t>
                                    </w:r>
                                  </w:p>
                                </w:sdtContent>
                              </w:sdt>
                              <w:p w:rsidR="00C019BA" w:rsidRDefault="00C019BA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C019BA" w:rsidRPr="00DA2B39" w:rsidRDefault="00987CD5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C019BA" w:rsidRPr="00C019BA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Passifs non financiers, avantages au personnel et paiement fondé sur des actions</w:t>
                                    </w:r>
                                  </w:sdtContent>
                                </w:sdt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C019BA" w:rsidRPr="00DA2B39" w:rsidRDefault="00C019BA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FC780E"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C019BA" w:rsidRPr="00DA2B39" w:rsidRDefault="00C019BA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 w:rsidRPr="00DA2B3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Chapitre 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2340</w:t>
                              </w:r>
                            </w:p>
                          </w:sdtContent>
                        </w:sdt>
                        <w:p w:rsidR="00C019BA" w:rsidRDefault="00C019BA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C019BA" w:rsidRPr="00DA2B39" w:rsidRDefault="00987CD5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C019BA" w:rsidRPr="00C019BA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Passifs non financiers, avantages au personnel et paiement fondé sur des actions</w:t>
                              </w:r>
                            </w:sdtContent>
                          </w:sdt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C019BA" w:rsidRPr="00DA2B39" w:rsidRDefault="00C019BA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FA0079" w:rsidRDefault="00FA0079" w:rsidP="003C0504">
      <w:pPr>
        <w:pStyle w:val="CACCorps"/>
      </w:pPr>
    </w:p>
    <w:p w:rsidR="004820D2" w:rsidRDefault="00C019BA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2366745" w:history="1">
        <w:r w:rsidR="004820D2" w:rsidRPr="00C27D5D">
          <w:rPr>
            <w:rStyle w:val="Lienhypertexte"/>
          </w:rPr>
          <w:t>Section 100.</w:t>
        </w:r>
        <w:r w:rsidR="004820D2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4820D2" w:rsidRPr="00C27D5D">
          <w:rPr>
            <w:rStyle w:val="Lienhypertexte"/>
          </w:rPr>
          <w:t>IAS 37 – Provisions, Passifs éventuels et actifs éventuels</w:t>
        </w:r>
        <w:r w:rsidR="004820D2">
          <w:rPr>
            <w:webHidden/>
          </w:rPr>
          <w:tab/>
        </w:r>
        <w:r w:rsidR="004820D2">
          <w:rPr>
            <w:webHidden/>
          </w:rPr>
          <w:fldChar w:fldCharType="begin"/>
        </w:r>
        <w:r w:rsidR="004820D2">
          <w:rPr>
            <w:webHidden/>
          </w:rPr>
          <w:instrText xml:space="preserve"> PAGEREF _Toc452366745 \h </w:instrText>
        </w:r>
        <w:r w:rsidR="004820D2">
          <w:rPr>
            <w:webHidden/>
          </w:rPr>
        </w:r>
        <w:r w:rsidR="004820D2">
          <w:rPr>
            <w:webHidden/>
          </w:rPr>
          <w:fldChar w:fldCharType="separate"/>
        </w:r>
        <w:r w:rsidR="00987CD5">
          <w:rPr>
            <w:webHidden/>
          </w:rPr>
          <w:t>4</w:t>
        </w:r>
        <w:r w:rsidR="004820D2">
          <w:rPr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46" w:history="1">
        <w:r w:rsidR="004820D2" w:rsidRPr="00C27D5D">
          <w:rPr>
            <w:rStyle w:val="Lienhypertexte"/>
            <w:noProof/>
          </w:rPr>
          <w:t>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_Toc452366746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47" w:history="1">
        <w:r w:rsidR="004820D2" w:rsidRPr="00C27D5D">
          <w:rPr>
            <w:rStyle w:val="Lienhypertexte"/>
            <w:noProof/>
          </w:rPr>
          <w:t>1.1.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 au niveau de l’Union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_Toc452366747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48" w:history="1">
        <w:r w:rsidR="004820D2" w:rsidRPr="00C27D5D">
          <w:rPr>
            <w:rStyle w:val="Lienhypertexte"/>
            <w:noProof/>
          </w:rPr>
          <w:t>1.2.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la Communauté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_Toc452366748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49" w:history="1">
        <w:r w:rsidR="004820D2" w:rsidRPr="00C27D5D">
          <w:rPr>
            <w:rStyle w:val="Lienhypertexte"/>
            <w:noProof/>
          </w:rPr>
          <w:t>1.3.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l’IASB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_Toc452366749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0" w:history="1">
        <w:r w:rsidR="004820D2" w:rsidRPr="00C27D5D">
          <w:rPr>
            <w:rStyle w:val="Lienhypertexte"/>
            <w:noProof/>
          </w:rPr>
          <w:t>1.4.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Projets 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_Toc452366750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1" w:history="1">
        <w:r w:rsidR="004820D2" w:rsidRPr="00C27D5D">
          <w:rPr>
            <w:rStyle w:val="Lienhypertexte"/>
            <w:noProof/>
          </w:rPr>
          <w:t>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NORMES ET INTERPRETATIONS LIEES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_Toc452366751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2" w:history="1">
        <w:r w:rsidR="004820D2" w:rsidRPr="00C27D5D">
          <w:rPr>
            <w:rStyle w:val="Lienhypertexte"/>
            <w:noProof/>
          </w:rPr>
          <w:t>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REJETS IFRIC LIES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_Toc452366752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3" w:history="1">
        <w:r w:rsidR="004820D2" w:rsidRPr="00C27D5D">
          <w:rPr>
            <w:rStyle w:val="Lienhypertexte"/>
            <w:noProof/>
          </w:rPr>
          <w:t>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 ET DECISIONS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_Toc452366753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4" w:history="1">
        <w:r w:rsidR="004820D2" w:rsidRPr="00C27D5D">
          <w:rPr>
            <w:rStyle w:val="Lienhypertexte"/>
            <w:noProof/>
          </w:rPr>
          <w:t>4.1.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_Toc452366754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5" w:history="1">
        <w:r w:rsidR="004820D2" w:rsidRPr="00C27D5D">
          <w:rPr>
            <w:rStyle w:val="Lienhypertexte"/>
            <w:noProof/>
          </w:rPr>
          <w:t>4.2.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Décisions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_Toc452366755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6" w:history="1">
        <w:r w:rsidR="004820D2" w:rsidRPr="00C27D5D">
          <w:rPr>
            <w:rStyle w:val="Lienhypertexte"/>
            <w:noProof/>
          </w:rPr>
          <w:t>5.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RAPPELS SUR LA NORME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_Toc452366756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7" w:history="1">
        <w:r w:rsidR="004820D2" w:rsidRPr="00C27D5D">
          <w:rPr>
            <w:rStyle w:val="Lienhypertexte"/>
            <w:noProof/>
          </w:rPr>
          <w:t>6.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RESSOURCES MISES A DISPOSITION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_Toc452366757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6758" w:history="1">
        <w:r w:rsidR="004820D2" w:rsidRPr="00C27D5D">
          <w:rPr>
            <w:rStyle w:val="Lienhypertexte"/>
          </w:rPr>
          <w:t>Section 110.</w:t>
        </w:r>
        <w:r w:rsidR="004820D2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4820D2" w:rsidRPr="00C27D5D">
          <w:rPr>
            <w:rStyle w:val="Lienhypertexte"/>
          </w:rPr>
          <w:t>IFRIC 1 – Variation des passifs existants relatifs au démantèlement, à la remise en état et similaires</w:t>
        </w:r>
        <w:r w:rsidR="004820D2">
          <w:rPr>
            <w:webHidden/>
          </w:rPr>
          <w:tab/>
        </w:r>
        <w:r w:rsidR="004820D2">
          <w:rPr>
            <w:webHidden/>
          </w:rPr>
          <w:fldChar w:fldCharType="begin"/>
        </w:r>
        <w:r w:rsidR="004820D2">
          <w:rPr>
            <w:webHidden/>
          </w:rPr>
          <w:instrText xml:space="preserve"> PAGEREF _Toc452366758 \h </w:instrText>
        </w:r>
        <w:r w:rsidR="004820D2">
          <w:rPr>
            <w:webHidden/>
          </w:rPr>
        </w:r>
        <w:r w:rsidR="004820D2">
          <w:rPr>
            <w:webHidden/>
          </w:rPr>
          <w:fldChar w:fldCharType="separate"/>
        </w:r>
        <w:r>
          <w:rPr>
            <w:webHidden/>
          </w:rPr>
          <w:t>6</w:t>
        </w:r>
        <w:r w:rsidR="004820D2">
          <w:rPr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59" w:history="1">
        <w:r w:rsidR="004820D2" w:rsidRPr="00C27D5D">
          <w:rPr>
            <w:rStyle w:val="Lienhypertexte"/>
            <w:noProof/>
          </w:rPr>
          <w:t>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_Toc452366759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0" w:history="1">
        <w:r w:rsidR="004820D2" w:rsidRPr="00C27D5D">
          <w:rPr>
            <w:rStyle w:val="Lienhypertexte"/>
            <w:noProof/>
          </w:rPr>
          <w:t>1.1.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 au niveau de l’Union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_Toc452366760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1" w:history="1">
        <w:r w:rsidR="004820D2" w:rsidRPr="00C27D5D">
          <w:rPr>
            <w:rStyle w:val="Lienhypertexte"/>
            <w:noProof/>
          </w:rPr>
          <w:t>1.2.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la Communauté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_Toc452366761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2" w:history="1">
        <w:r w:rsidR="004820D2" w:rsidRPr="00C27D5D">
          <w:rPr>
            <w:rStyle w:val="Lienhypertexte"/>
            <w:noProof/>
          </w:rPr>
          <w:t>1.3.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l’IASB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_Toc452366762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3" w:history="1">
        <w:r w:rsidR="004820D2" w:rsidRPr="00C27D5D">
          <w:rPr>
            <w:rStyle w:val="Lienhypertexte"/>
            <w:noProof/>
          </w:rPr>
          <w:t>1.4.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Projets 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_Toc452366763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4" w:history="1">
        <w:r w:rsidR="004820D2" w:rsidRPr="00C27D5D">
          <w:rPr>
            <w:rStyle w:val="Lienhypertexte"/>
            <w:noProof/>
          </w:rPr>
          <w:t>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NORMES ET INTERPRETATIONS LIEES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_Toc452366764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5" w:history="1">
        <w:r w:rsidR="004820D2" w:rsidRPr="00C27D5D">
          <w:rPr>
            <w:rStyle w:val="Lienhypertexte"/>
            <w:noProof/>
          </w:rPr>
          <w:t>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REJETS IFRIC LIES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_Toc452366765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6" w:history="1">
        <w:r w:rsidR="004820D2" w:rsidRPr="00C27D5D">
          <w:rPr>
            <w:rStyle w:val="Lienhypertexte"/>
            <w:noProof/>
          </w:rPr>
          <w:t>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 ET DECISIONS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_Toc452366766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7" w:history="1">
        <w:r w:rsidR="004820D2" w:rsidRPr="00C27D5D">
          <w:rPr>
            <w:rStyle w:val="Lienhypertexte"/>
            <w:noProof/>
          </w:rPr>
          <w:t>4.1.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_Toc452366767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8" w:history="1">
        <w:r w:rsidR="004820D2" w:rsidRPr="00C27D5D">
          <w:rPr>
            <w:rStyle w:val="Lienhypertexte"/>
            <w:noProof/>
          </w:rPr>
          <w:t>4.2.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Décisions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_Toc452366768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69" w:history="1">
        <w:r w:rsidR="004820D2" w:rsidRPr="00C27D5D">
          <w:rPr>
            <w:rStyle w:val="Lienhypertexte"/>
            <w:noProof/>
          </w:rPr>
          <w:t>5.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RAPPELS SUR L’INTERPRETATION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_Toc452366769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0" w:history="1">
        <w:r w:rsidR="004820D2" w:rsidRPr="00C27D5D">
          <w:rPr>
            <w:rStyle w:val="Lienhypertexte"/>
            <w:noProof/>
          </w:rPr>
          <w:t>6.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RESSOURCES MISES A DISPOSITION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_Toc452366770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6771" w:history="1">
        <w:r w:rsidR="004820D2" w:rsidRPr="00C27D5D">
          <w:rPr>
            <w:rStyle w:val="Lienhypertexte"/>
          </w:rPr>
          <w:t>Section 120.</w:t>
        </w:r>
        <w:r w:rsidR="004820D2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4820D2" w:rsidRPr="00C27D5D">
          <w:rPr>
            <w:rStyle w:val="Lienhypertexte"/>
          </w:rPr>
          <w:t>IFRIC 6 – Passifs découlant de la participation à un marché déterminé — Déchets d'équipements électriques et électroniques</w:t>
        </w:r>
        <w:r w:rsidR="004820D2">
          <w:rPr>
            <w:webHidden/>
          </w:rPr>
          <w:tab/>
        </w:r>
        <w:r w:rsidR="004820D2">
          <w:rPr>
            <w:webHidden/>
          </w:rPr>
          <w:fldChar w:fldCharType="begin"/>
        </w:r>
        <w:r w:rsidR="004820D2">
          <w:rPr>
            <w:webHidden/>
          </w:rPr>
          <w:instrText xml:space="preserve"> PAGEREF _Toc452366771 \h </w:instrText>
        </w:r>
        <w:r w:rsidR="004820D2">
          <w:rPr>
            <w:webHidden/>
          </w:rPr>
        </w:r>
        <w:r w:rsidR="004820D2">
          <w:rPr>
            <w:webHidden/>
          </w:rPr>
          <w:fldChar w:fldCharType="separate"/>
        </w:r>
        <w:r>
          <w:rPr>
            <w:webHidden/>
          </w:rPr>
          <w:t>7</w:t>
        </w:r>
        <w:r w:rsidR="004820D2">
          <w:rPr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2" w:history="1">
        <w:r w:rsidR="004820D2" w:rsidRPr="00C27D5D">
          <w:rPr>
            <w:rStyle w:val="Lienhypertexte"/>
            <w:noProof/>
          </w:rPr>
          <w:t>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_Toc452366772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3" w:history="1">
        <w:r w:rsidR="004820D2" w:rsidRPr="00C27D5D">
          <w:rPr>
            <w:rStyle w:val="Lienhypertexte"/>
            <w:noProof/>
          </w:rPr>
          <w:t>1.1.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 au niveau de l’Union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_Toc452366773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4" w:history="1">
        <w:r w:rsidR="004820D2" w:rsidRPr="00C27D5D">
          <w:rPr>
            <w:rStyle w:val="Lienhypertexte"/>
            <w:noProof/>
          </w:rPr>
          <w:t>1.2.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la Communauté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_Toc452366774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5" w:history="1">
        <w:r w:rsidR="004820D2" w:rsidRPr="00C27D5D">
          <w:rPr>
            <w:rStyle w:val="Lienhypertexte"/>
            <w:noProof/>
          </w:rPr>
          <w:t>1.3.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l’IASB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_Toc452366775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6" w:history="1">
        <w:r w:rsidR="004820D2" w:rsidRPr="00C27D5D">
          <w:rPr>
            <w:rStyle w:val="Lienhypertexte"/>
            <w:noProof/>
          </w:rPr>
          <w:t>1.4.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Projets 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_Toc452366776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7" w:history="1">
        <w:r w:rsidR="004820D2" w:rsidRPr="00C27D5D">
          <w:rPr>
            <w:rStyle w:val="Lienhypertexte"/>
            <w:noProof/>
          </w:rPr>
          <w:t>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NORMES ET INTERPRETATIONS LIEES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_Toc452366777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8" w:history="1">
        <w:r w:rsidR="004820D2" w:rsidRPr="00C27D5D">
          <w:rPr>
            <w:rStyle w:val="Lienhypertexte"/>
            <w:noProof/>
          </w:rPr>
          <w:t>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REJETS IFRIC LIES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_Toc452366778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79" w:history="1">
        <w:r w:rsidR="004820D2" w:rsidRPr="00C27D5D">
          <w:rPr>
            <w:rStyle w:val="Lienhypertexte"/>
            <w:noProof/>
          </w:rPr>
          <w:t>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 ET DECISIONS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_Toc452366779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0" w:history="1">
        <w:r w:rsidR="004820D2" w:rsidRPr="00C27D5D">
          <w:rPr>
            <w:rStyle w:val="Lienhypertexte"/>
            <w:noProof/>
          </w:rPr>
          <w:t>4.1.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_Toc452366780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1" w:history="1">
        <w:r w:rsidR="004820D2" w:rsidRPr="00C27D5D">
          <w:rPr>
            <w:rStyle w:val="Lienhypertexte"/>
            <w:noProof/>
          </w:rPr>
          <w:t>4.2.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Décisions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_Toc452366781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2" w:history="1">
        <w:r w:rsidR="004820D2" w:rsidRPr="00C27D5D">
          <w:rPr>
            <w:rStyle w:val="Lienhypertexte"/>
            <w:noProof/>
          </w:rPr>
          <w:t>5.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RAPPELS SUR L’INTERPRETATION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_Toc452366782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3" w:history="1">
        <w:r w:rsidR="004820D2" w:rsidRPr="00C27D5D">
          <w:rPr>
            <w:rStyle w:val="Lienhypertexte"/>
            <w:noProof/>
          </w:rPr>
          <w:t>6.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RESSOURCES MISES A DISPOSITION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_Toc452366783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6784" w:history="1">
        <w:r w:rsidR="004820D2" w:rsidRPr="00C27D5D">
          <w:rPr>
            <w:rStyle w:val="Lienhypertexte"/>
          </w:rPr>
          <w:t>Section 200.</w:t>
        </w:r>
        <w:r w:rsidR="004820D2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4820D2" w:rsidRPr="00C27D5D">
          <w:rPr>
            <w:rStyle w:val="Lienhypertexte"/>
          </w:rPr>
          <w:t>IAS 19 – Avantages du personnel</w:t>
        </w:r>
        <w:r w:rsidR="004820D2">
          <w:rPr>
            <w:webHidden/>
          </w:rPr>
          <w:tab/>
        </w:r>
        <w:r w:rsidR="004820D2">
          <w:rPr>
            <w:webHidden/>
          </w:rPr>
          <w:fldChar w:fldCharType="begin"/>
        </w:r>
        <w:r w:rsidR="004820D2">
          <w:rPr>
            <w:webHidden/>
          </w:rPr>
          <w:instrText xml:space="preserve"> PAGEREF _Toc452366784 \h </w:instrText>
        </w:r>
        <w:r w:rsidR="004820D2">
          <w:rPr>
            <w:webHidden/>
          </w:rPr>
        </w:r>
        <w:r w:rsidR="004820D2">
          <w:rPr>
            <w:webHidden/>
          </w:rPr>
          <w:fldChar w:fldCharType="separate"/>
        </w:r>
        <w:r>
          <w:rPr>
            <w:webHidden/>
          </w:rPr>
          <w:t>8</w:t>
        </w:r>
        <w:r w:rsidR="004820D2">
          <w:rPr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5" w:history="1">
        <w:r w:rsidR="004820D2" w:rsidRPr="00C27D5D">
          <w:rPr>
            <w:rStyle w:val="Lienhypertexte"/>
            <w:noProof/>
          </w:rPr>
          <w:t>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_Toc452366785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6" w:history="1">
        <w:r w:rsidR="004820D2" w:rsidRPr="00C27D5D">
          <w:rPr>
            <w:rStyle w:val="Lienhypertexte"/>
            <w:noProof/>
          </w:rPr>
          <w:t>1.1.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 au niveau de l’Union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_Toc452366786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7" w:history="1">
        <w:r w:rsidR="004820D2" w:rsidRPr="00C27D5D">
          <w:rPr>
            <w:rStyle w:val="Lienhypertexte"/>
            <w:noProof/>
          </w:rPr>
          <w:t>1.2.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la Communauté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_Toc452366787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8" w:history="1">
        <w:r w:rsidR="004820D2" w:rsidRPr="00C27D5D">
          <w:rPr>
            <w:rStyle w:val="Lienhypertexte"/>
            <w:noProof/>
          </w:rPr>
          <w:t>1.3.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l’IASB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_Toc452366788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89" w:history="1">
        <w:r w:rsidR="004820D2" w:rsidRPr="00C27D5D">
          <w:rPr>
            <w:rStyle w:val="Lienhypertexte"/>
            <w:noProof/>
          </w:rPr>
          <w:t>1.4.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Projets 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_Toc452366789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0" w:history="1">
        <w:r w:rsidR="004820D2" w:rsidRPr="00C27D5D">
          <w:rPr>
            <w:rStyle w:val="Lienhypertexte"/>
            <w:noProof/>
          </w:rPr>
          <w:t>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NORMES ET INTERPRETATIONS LIEES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_Toc452366790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1" w:history="1">
        <w:r w:rsidR="004820D2" w:rsidRPr="00C27D5D">
          <w:rPr>
            <w:rStyle w:val="Lienhypertexte"/>
            <w:noProof/>
          </w:rPr>
          <w:t>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REJETS IFRIC LIES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_Toc452366791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2" w:history="1">
        <w:r w:rsidR="004820D2" w:rsidRPr="00C27D5D">
          <w:rPr>
            <w:rStyle w:val="Lienhypertexte"/>
            <w:noProof/>
          </w:rPr>
          <w:t>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 ET DECISIONS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_Toc452366792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3" w:history="1">
        <w:r w:rsidR="004820D2" w:rsidRPr="00C27D5D">
          <w:rPr>
            <w:rStyle w:val="Lienhypertexte"/>
            <w:noProof/>
          </w:rPr>
          <w:t>4.1.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_Toc452366793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4" w:history="1">
        <w:r w:rsidR="004820D2" w:rsidRPr="00C27D5D">
          <w:rPr>
            <w:rStyle w:val="Lienhypertexte"/>
            <w:noProof/>
          </w:rPr>
          <w:t>4.2.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Décisions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_Toc452366794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5" w:history="1">
        <w:r w:rsidR="004820D2" w:rsidRPr="00C27D5D">
          <w:rPr>
            <w:rStyle w:val="Lienhypertexte"/>
            <w:noProof/>
          </w:rPr>
          <w:t>5.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RAPPELS SUR LA NORME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_Toc452366795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6" w:history="1">
        <w:r w:rsidR="004820D2" w:rsidRPr="00C27D5D">
          <w:rPr>
            <w:rStyle w:val="Lienhypertexte"/>
            <w:noProof/>
          </w:rPr>
          <w:t>6.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RESSOURCES MISES A DISPOSITION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_Toc452366796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6797" w:history="1">
        <w:r w:rsidR="004820D2" w:rsidRPr="00C27D5D">
          <w:rPr>
            <w:rStyle w:val="Lienhypertexte"/>
          </w:rPr>
          <w:t>Section 210.</w:t>
        </w:r>
        <w:r w:rsidR="004820D2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4820D2" w:rsidRPr="00C27D5D">
          <w:rPr>
            <w:rStyle w:val="Lienhypertexte"/>
          </w:rPr>
          <w:t>IFRIC 14 – Le plafonnement de l’actif au titre des régimes à prestations définies, les exigences de financement minimal et leur interaction</w:t>
        </w:r>
        <w:r w:rsidR="004820D2">
          <w:rPr>
            <w:webHidden/>
          </w:rPr>
          <w:tab/>
        </w:r>
        <w:r w:rsidR="004820D2">
          <w:rPr>
            <w:webHidden/>
          </w:rPr>
          <w:fldChar w:fldCharType="begin"/>
        </w:r>
        <w:r w:rsidR="004820D2">
          <w:rPr>
            <w:webHidden/>
          </w:rPr>
          <w:instrText xml:space="preserve"> PAGEREF _Toc452366797 \h </w:instrText>
        </w:r>
        <w:r w:rsidR="004820D2">
          <w:rPr>
            <w:webHidden/>
          </w:rPr>
        </w:r>
        <w:r w:rsidR="004820D2">
          <w:rPr>
            <w:webHidden/>
          </w:rPr>
          <w:fldChar w:fldCharType="separate"/>
        </w:r>
        <w:r>
          <w:rPr>
            <w:webHidden/>
          </w:rPr>
          <w:t>11</w:t>
        </w:r>
        <w:r w:rsidR="004820D2">
          <w:rPr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8" w:history="1">
        <w:r w:rsidR="004820D2" w:rsidRPr="00C27D5D">
          <w:rPr>
            <w:rStyle w:val="Lienhypertexte"/>
            <w:noProof/>
          </w:rPr>
          <w:t>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_Toc452366798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799" w:history="1">
        <w:r w:rsidR="004820D2" w:rsidRPr="00C27D5D">
          <w:rPr>
            <w:rStyle w:val="Lienhypertexte"/>
            <w:noProof/>
          </w:rPr>
          <w:t>1.1.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 au niveau de l’Union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_Toc452366799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0" w:history="1">
        <w:r w:rsidR="004820D2" w:rsidRPr="00C27D5D">
          <w:rPr>
            <w:rStyle w:val="Lienhypertexte"/>
            <w:noProof/>
          </w:rPr>
          <w:t>1.2.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la Communauté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_Toc452366800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1" w:history="1">
        <w:r w:rsidR="004820D2" w:rsidRPr="00C27D5D">
          <w:rPr>
            <w:rStyle w:val="Lienhypertexte"/>
            <w:noProof/>
          </w:rPr>
          <w:t>1.3.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l’IASB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_Toc452366801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2" w:history="1">
        <w:r w:rsidR="004820D2" w:rsidRPr="00C27D5D">
          <w:rPr>
            <w:rStyle w:val="Lienhypertexte"/>
            <w:noProof/>
          </w:rPr>
          <w:t>1.4.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Projets 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_Toc452366802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3" w:history="1">
        <w:r w:rsidR="004820D2" w:rsidRPr="00C27D5D">
          <w:rPr>
            <w:rStyle w:val="Lienhypertexte"/>
            <w:noProof/>
          </w:rPr>
          <w:t>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NORMES ET INTERPRETATIONS LIEES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_Toc452366803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4" w:history="1">
        <w:r w:rsidR="004820D2" w:rsidRPr="00C27D5D">
          <w:rPr>
            <w:rStyle w:val="Lienhypertexte"/>
            <w:noProof/>
          </w:rPr>
          <w:t>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REJETS IFRIC LIES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_Toc452366804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5" w:history="1">
        <w:r w:rsidR="004820D2" w:rsidRPr="00C27D5D">
          <w:rPr>
            <w:rStyle w:val="Lienhypertexte"/>
            <w:noProof/>
          </w:rPr>
          <w:t>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 ET DECISIONS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_Toc452366805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6" w:history="1">
        <w:r w:rsidR="004820D2" w:rsidRPr="00C27D5D">
          <w:rPr>
            <w:rStyle w:val="Lienhypertexte"/>
            <w:noProof/>
          </w:rPr>
          <w:t>4.1.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_Toc452366806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7" w:history="1">
        <w:r w:rsidR="004820D2" w:rsidRPr="00C27D5D">
          <w:rPr>
            <w:rStyle w:val="Lienhypertexte"/>
            <w:noProof/>
          </w:rPr>
          <w:t>4.2.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Décisions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_Toc452366807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8" w:history="1">
        <w:r w:rsidR="004820D2" w:rsidRPr="00C27D5D">
          <w:rPr>
            <w:rStyle w:val="Lienhypertexte"/>
            <w:noProof/>
          </w:rPr>
          <w:t>5.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RAPPELS SUR L’INTERPRETATION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_Toc452366808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09" w:history="1">
        <w:r w:rsidR="004820D2" w:rsidRPr="00C27D5D">
          <w:rPr>
            <w:rStyle w:val="Lienhypertexte"/>
            <w:noProof/>
          </w:rPr>
          <w:t>6.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RESSOURCES MISES A DISPOSITION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_Toc452366809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2366810" w:history="1">
        <w:r w:rsidR="004820D2" w:rsidRPr="00C27D5D">
          <w:rPr>
            <w:rStyle w:val="Lienhypertexte"/>
          </w:rPr>
          <w:t>Section 300.</w:t>
        </w:r>
        <w:r w:rsidR="004820D2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4820D2" w:rsidRPr="00C27D5D">
          <w:rPr>
            <w:rStyle w:val="Lienhypertexte"/>
          </w:rPr>
          <w:t>IFRS 2 – Paiement fondé sur des actions</w:t>
        </w:r>
        <w:r w:rsidR="004820D2">
          <w:rPr>
            <w:webHidden/>
          </w:rPr>
          <w:tab/>
        </w:r>
        <w:r w:rsidR="004820D2">
          <w:rPr>
            <w:webHidden/>
          </w:rPr>
          <w:fldChar w:fldCharType="begin"/>
        </w:r>
        <w:r w:rsidR="004820D2">
          <w:rPr>
            <w:webHidden/>
          </w:rPr>
          <w:instrText xml:space="preserve"> PAGEREF _Toc452366810 \h </w:instrText>
        </w:r>
        <w:r w:rsidR="004820D2">
          <w:rPr>
            <w:webHidden/>
          </w:rPr>
        </w:r>
        <w:r w:rsidR="004820D2">
          <w:rPr>
            <w:webHidden/>
          </w:rPr>
          <w:fldChar w:fldCharType="separate"/>
        </w:r>
        <w:r>
          <w:rPr>
            <w:webHidden/>
          </w:rPr>
          <w:t>12</w:t>
        </w:r>
        <w:r w:rsidR="004820D2">
          <w:rPr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1" w:history="1">
        <w:r w:rsidR="004820D2" w:rsidRPr="00C27D5D">
          <w:rPr>
            <w:rStyle w:val="Lienhypertexte"/>
            <w:noProof/>
          </w:rPr>
          <w:t>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_Toc452366811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2" w:history="1">
        <w:r w:rsidR="004820D2" w:rsidRPr="00C27D5D">
          <w:rPr>
            <w:rStyle w:val="Lienhypertexte"/>
            <w:noProof/>
          </w:rPr>
          <w:t>1.1.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Historique au niveau de l’Union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_Toc452366812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3" w:history="1">
        <w:r w:rsidR="004820D2" w:rsidRPr="00C27D5D">
          <w:rPr>
            <w:rStyle w:val="Lienhypertexte"/>
            <w:noProof/>
          </w:rPr>
          <w:t>1.2.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la Communauté européenne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_Toc452366813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4" w:history="1">
        <w:r w:rsidR="004820D2" w:rsidRPr="00C27D5D">
          <w:rPr>
            <w:rStyle w:val="Lienhypertexte"/>
            <w:noProof/>
          </w:rPr>
          <w:t>1.3.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Textes en cours d’adoption par l’IASB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_Toc452366814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5" w:history="1">
        <w:r w:rsidR="004820D2" w:rsidRPr="00C27D5D">
          <w:rPr>
            <w:rStyle w:val="Lienhypertexte"/>
            <w:noProof/>
          </w:rPr>
          <w:t>1.4.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Projets IASB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_Toc452366815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6" w:history="1">
        <w:r w:rsidR="004820D2" w:rsidRPr="00C27D5D">
          <w:rPr>
            <w:rStyle w:val="Lienhypertexte"/>
            <w:noProof/>
          </w:rPr>
          <w:t>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NORMES ET INTERPRETATIONS LIEES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_Toc452366816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7" w:history="1">
        <w:r w:rsidR="004820D2" w:rsidRPr="00C27D5D">
          <w:rPr>
            <w:rStyle w:val="Lienhypertexte"/>
            <w:noProof/>
          </w:rPr>
          <w:t>3.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REJETS IFRIC LIES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_Toc452366817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8" w:history="1">
        <w:r w:rsidR="004820D2" w:rsidRPr="00C27D5D">
          <w:rPr>
            <w:rStyle w:val="Lienhypertexte"/>
            <w:noProof/>
          </w:rPr>
          <w:t>4.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 ET DECISIONS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_Toc452366818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19" w:history="1">
        <w:r w:rsidR="004820D2" w:rsidRPr="00C27D5D">
          <w:rPr>
            <w:rStyle w:val="Lienhypertexte"/>
            <w:noProof/>
          </w:rPr>
          <w:t>4.1.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Recommandations AMF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_Toc452366819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20" w:history="1">
        <w:r w:rsidR="004820D2" w:rsidRPr="00C27D5D">
          <w:rPr>
            <w:rStyle w:val="Lienhypertexte"/>
            <w:noProof/>
          </w:rPr>
          <w:t>4.2.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Décisions ESMA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_Toc452366820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21" w:history="1">
        <w:r w:rsidR="004820D2" w:rsidRPr="00C27D5D">
          <w:rPr>
            <w:rStyle w:val="Lienhypertexte"/>
            <w:noProof/>
          </w:rPr>
          <w:t>5.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RAPPELS SUR LA NORME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_Toc452366821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4820D2">
          <w:rPr>
            <w:noProof/>
            <w:webHidden/>
          </w:rPr>
          <w:fldChar w:fldCharType="end"/>
        </w:r>
      </w:hyperlink>
    </w:p>
    <w:p w:rsidR="004820D2" w:rsidRDefault="00987CD5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2366822" w:history="1">
        <w:r w:rsidR="004820D2" w:rsidRPr="00C27D5D">
          <w:rPr>
            <w:rStyle w:val="Lienhypertexte"/>
            <w:noProof/>
          </w:rPr>
          <w:t>6.</w:t>
        </w:r>
        <w:r w:rsidR="004820D2">
          <w:rPr>
            <w:rFonts w:asciiTheme="minorHAnsi" w:eastAsiaTheme="minorEastAsia" w:hAnsiTheme="minorHAnsi"/>
            <w:noProof/>
            <w:lang w:eastAsia="fr-FR"/>
          </w:rPr>
          <w:tab/>
        </w:r>
        <w:r w:rsidR="004820D2" w:rsidRPr="00C27D5D">
          <w:rPr>
            <w:rStyle w:val="Lienhypertexte"/>
            <w:noProof/>
          </w:rPr>
          <w:t>RESSOURCES MISES A DISPOSITION</w:t>
        </w:r>
        <w:r w:rsidR="004820D2">
          <w:rPr>
            <w:noProof/>
            <w:webHidden/>
          </w:rPr>
          <w:tab/>
        </w:r>
        <w:r w:rsidR="004820D2">
          <w:rPr>
            <w:noProof/>
            <w:webHidden/>
          </w:rPr>
          <w:fldChar w:fldCharType="begin"/>
        </w:r>
        <w:r w:rsidR="004820D2">
          <w:rPr>
            <w:noProof/>
            <w:webHidden/>
          </w:rPr>
          <w:instrText xml:space="preserve"> PAGEREF _Toc452366822 \h </w:instrText>
        </w:r>
        <w:r w:rsidR="004820D2">
          <w:rPr>
            <w:noProof/>
            <w:webHidden/>
          </w:rPr>
        </w:r>
        <w:r w:rsidR="004820D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4820D2">
          <w:rPr>
            <w:noProof/>
            <w:webHidden/>
          </w:rPr>
          <w:fldChar w:fldCharType="end"/>
        </w:r>
      </w:hyperlink>
    </w:p>
    <w:p w:rsidR="00C019BA" w:rsidRDefault="00C019BA" w:rsidP="00C019BA">
      <w:pP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fldChar w:fldCharType="end"/>
      </w:r>
    </w:p>
    <w:p w:rsidR="00C019BA" w:rsidRDefault="00C019BA" w:rsidP="00C019BA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C019BA" w:rsidRDefault="00C019BA" w:rsidP="00C019BA"/>
    <w:p w:rsidR="00C019BA" w:rsidRDefault="00C019BA" w:rsidP="00C019BA">
      <w:pPr>
        <w:pStyle w:val="CACTitre1"/>
      </w:pPr>
      <w:bookmarkStart w:id="1" w:name="_Toc448326840"/>
      <w:bookmarkStart w:id="2" w:name="_Toc452366745"/>
      <w:r>
        <w:t>IAS 37 – Provisions, Passifs éventuels et actifs éventuels</w:t>
      </w:r>
      <w:bookmarkEnd w:id="1"/>
      <w:bookmarkEnd w:id="2"/>
      <w:r>
        <w:t xml:space="preserve"> </w:t>
      </w:r>
    </w:p>
    <w:p w:rsidR="00C019BA" w:rsidRPr="00DD09B7" w:rsidRDefault="00C019BA" w:rsidP="00C019BA"/>
    <w:p w:rsidR="00C019BA" w:rsidRDefault="00C019BA" w:rsidP="00C019BA">
      <w:pPr>
        <w:pStyle w:val="CACTitre2"/>
      </w:pPr>
      <w:bookmarkStart w:id="3" w:name="_Toc452366746"/>
      <w:r>
        <w:t>HISTORIQUE</w:t>
      </w:r>
      <w:bookmarkEnd w:id="3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4" w:name="_Toc448326842"/>
      <w:bookmarkStart w:id="5" w:name="_Toc452366747"/>
      <w:r>
        <w:t>Historique au niveau de l’Union européenne</w:t>
      </w:r>
      <w:bookmarkEnd w:id="4"/>
      <w:bookmarkEnd w:id="5"/>
    </w:p>
    <w:p w:rsidR="00C019BA" w:rsidRDefault="00C019BA" w:rsidP="00C019BA">
      <w:pPr>
        <w:pStyle w:val="CACTitre3"/>
        <w:numPr>
          <w:ilvl w:val="0"/>
          <w:numId w:val="0"/>
        </w:num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5"/>
        <w:gridCol w:w="1399"/>
        <w:gridCol w:w="1259"/>
        <w:gridCol w:w="1303"/>
        <w:gridCol w:w="1234"/>
        <w:gridCol w:w="1279"/>
        <w:gridCol w:w="1196"/>
      </w:tblGrid>
      <w:tr w:rsidR="00C019BA" w:rsidRPr="005D44D3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Provisions, passifs éventuels et actifs éventuels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01/09/1998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d'IAS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8, IAS 10, IAS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6" w:name="_Toc448326843"/>
      <w:bookmarkStart w:id="7" w:name="_Toc452366748"/>
      <w:r>
        <w:t>Textes en cours d’adoption par la Communauté européenne</w:t>
      </w:r>
      <w:bookmarkEnd w:id="6"/>
      <w:bookmarkEnd w:id="7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8" w:name="_Toc448326844"/>
      <w:bookmarkStart w:id="9" w:name="_Toc452366749"/>
      <w:r>
        <w:t>Textes en cours d’adoption par l’IASB</w:t>
      </w:r>
      <w:bookmarkEnd w:id="8"/>
      <w:bookmarkEnd w:id="9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Titre3"/>
      </w:pPr>
      <w:bookmarkStart w:id="10" w:name="_Toc448326845"/>
      <w:bookmarkStart w:id="11" w:name="_Toc452366750"/>
      <w:r>
        <w:t>Projets IASB</w:t>
      </w:r>
      <w:bookmarkEnd w:id="10"/>
      <w:bookmarkEnd w:id="11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12" w:name="_Toc448326846"/>
      <w:bookmarkStart w:id="13" w:name="_Toc452366751"/>
      <w:r>
        <w:t>NORMES ET INTERPRETATIONS LIEES</w:t>
      </w:r>
      <w:bookmarkEnd w:id="12"/>
      <w:bookmarkEnd w:id="13"/>
    </w:p>
    <w:p w:rsidR="00C019BA" w:rsidRDefault="00C019BA" w:rsidP="00C019BA">
      <w:pPr>
        <w:pStyle w:val="CACCorps"/>
      </w:pPr>
    </w:p>
    <w:p w:rsidR="00C019BA" w:rsidRDefault="00C019BA" w:rsidP="00E714F0">
      <w:pPr>
        <w:pStyle w:val="CACCorps"/>
        <w:numPr>
          <w:ilvl w:val="0"/>
          <w:numId w:val="7"/>
        </w:numPr>
      </w:pPr>
      <w:r>
        <w:t xml:space="preserve">IFRIC 1 – </w:t>
      </w:r>
      <w:r w:rsidRPr="00860C97">
        <w:rPr>
          <w:i/>
        </w:rPr>
        <w:t>Variation des passifs existants relatifs au démantèlement ou à la remise en état et des autres passifs similaires</w:t>
      </w:r>
    </w:p>
    <w:p w:rsidR="00C019BA" w:rsidRDefault="00C019BA" w:rsidP="00E714F0">
      <w:pPr>
        <w:pStyle w:val="CACCorps"/>
        <w:numPr>
          <w:ilvl w:val="0"/>
          <w:numId w:val="7"/>
        </w:numPr>
      </w:pPr>
      <w:r>
        <w:t xml:space="preserve">IFRIC 5 – </w:t>
      </w:r>
      <w:r w:rsidRPr="007312FB">
        <w:rPr>
          <w:i/>
        </w:rPr>
        <w:t>Droits aux intérêts émanant de fonds de gestion dédiés au démantèlement, à la remise en état et à la réhabilitation de l'environnement</w:t>
      </w:r>
    </w:p>
    <w:p w:rsidR="00C019BA" w:rsidRDefault="00C019BA" w:rsidP="00E714F0">
      <w:pPr>
        <w:pStyle w:val="CACCorps"/>
        <w:numPr>
          <w:ilvl w:val="0"/>
          <w:numId w:val="7"/>
        </w:numPr>
      </w:pPr>
      <w:r>
        <w:lastRenderedPageBreak/>
        <w:t xml:space="preserve">IFRIC 6 – </w:t>
      </w:r>
      <w:r w:rsidRPr="007312FB">
        <w:rPr>
          <w:i/>
        </w:rPr>
        <w:t>Passifs découlant de la participation à un marché spécifique - déchets d'équipements électriques et électroniques</w:t>
      </w:r>
    </w:p>
    <w:p w:rsidR="00C019BA" w:rsidRDefault="00C019BA" w:rsidP="00E714F0">
      <w:pPr>
        <w:pStyle w:val="CACCorps"/>
        <w:numPr>
          <w:ilvl w:val="0"/>
          <w:numId w:val="7"/>
        </w:numPr>
      </w:pPr>
      <w:r>
        <w:t xml:space="preserve">IFRIC 17 – </w:t>
      </w:r>
      <w:r w:rsidRPr="007312FB">
        <w:rPr>
          <w:i/>
        </w:rPr>
        <w:t>Distributions d'actifs non monétaires aux propriétaires</w:t>
      </w:r>
    </w:p>
    <w:p w:rsidR="00C019BA" w:rsidRPr="007312FB" w:rsidRDefault="00C019BA" w:rsidP="00E714F0">
      <w:pPr>
        <w:pStyle w:val="CACCorps"/>
        <w:numPr>
          <w:ilvl w:val="0"/>
          <w:numId w:val="7"/>
        </w:numPr>
      </w:pPr>
      <w:r>
        <w:t xml:space="preserve">IFRIC 21 – </w:t>
      </w:r>
      <w:r w:rsidRPr="007312FB">
        <w:rPr>
          <w:i/>
        </w:rPr>
        <w:t>Droits et taxes</w:t>
      </w:r>
    </w:p>
    <w:p w:rsidR="00C019BA" w:rsidRP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14" w:name="_Toc448326847"/>
      <w:bookmarkStart w:id="15" w:name="_Toc452366752"/>
      <w:r>
        <w:t xml:space="preserve">REJETS IFRIC </w:t>
      </w:r>
      <w:bookmarkEnd w:id="14"/>
      <w:r>
        <w:t>LIES</w:t>
      </w:r>
      <w:bookmarkEnd w:id="15"/>
    </w:p>
    <w:p w:rsidR="00C019BA" w:rsidRDefault="00C019BA" w:rsidP="00C019BA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C019BA" w:rsidRPr="007312FB" w:rsidTr="00C019BA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12F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12F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312FB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C019BA" w:rsidRPr="007312FB" w:rsidTr="00C019BA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lang w:eastAsia="fr-FR"/>
              </w:rPr>
              <w:t>Classement d'une dette relative à une carte p</w:t>
            </w:r>
            <w:r>
              <w:rPr>
                <w:rFonts w:eastAsia="Times New Roman" w:cs="Times New Roman"/>
                <w:color w:val="000000"/>
                <w:lang w:eastAsia="fr-FR"/>
              </w:rPr>
              <w:t>r</w:t>
            </w:r>
            <w:r w:rsidRPr="007312FB">
              <w:rPr>
                <w:rFonts w:eastAsia="Times New Roman" w:cs="Times New Roman"/>
                <w:color w:val="000000"/>
                <w:lang w:eastAsia="fr-FR"/>
              </w:rPr>
              <w:t>épayée dans les états financiers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lang w:eastAsia="fr-FR"/>
              </w:rPr>
              <w:t>13/05/2014</w:t>
            </w:r>
          </w:p>
        </w:tc>
      </w:tr>
      <w:tr w:rsidR="00C019BA" w:rsidRPr="007312FB" w:rsidTr="00C019BA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lang w:eastAsia="fr-FR"/>
              </w:rPr>
              <w:t>Evaluation des dettes provenant des systèmes d'échanges de quotas d'émission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lang w:eastAsia="fr-FR"/>
              </w:rPr>
              <w:t>22/04/2014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16" w:name="_Toc448326848"/>
      <w:bookmarkStart w:id="17" w:name="_Toc452366753"/>
      <w:r>
        <w:t>RECOMMANDATIONS AMF ET DECISIONS ESMA</w:t>
      </w:r>
      <w:bookmarkEnd w:id="16"/>
      <w:bookmarkEnd w:id="17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18" w:name="_Toc452366754"/>
      <w:r>
        <w:t>Recommandations AMF</w:t>
      </w:r>
      <w:bookmarkEnd w:id="18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188"/>
        <w:gridCol w:w="1156"/>
        <w:gridCol w:w="1817"/>
        <w:gridCol w:w="1555"/>
      </w:tblGrid>
      <w:tr w:rsidR="00C019BA" w:rsidRPr="007312FB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7312FB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en annexe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7312FB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Liens avec d’autres éléments de la communication financière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312F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312F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19" w:name="_Toc452366755"/>
      <w:r>
        <w:t>Décisions ESMA</w:t>
      </w:r>
      <w:bookmarkEnd w:id="19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2357"/>
        <w:gridCol w:w="1353"/>
        <w:gridCol w:w="2290"/>
        <w:gridCol w:w="1951"/>
      </w:tblGrid>
      <w:tr w:rsidR="00C019BA" w:rsidRPr="00AE2F18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AE2F18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Plans de restructuration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AE2F18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Passifs éventuels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EECS/0809-07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AE2F18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Provisions et passifs éventuels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AE2F18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E2F1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20" w:name="_Toc448326849"/>
      <w:bookmarkStart w:id="21" w:name="_Toc452366756"/>
      <w:r>
        <w:t>RAPPELS SUR LA NORME</w:t>
      </w:r>
      <w:bookmarkEnd w:id="20"/>
      <w:bookmarkEnd w:id="21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22" w:name="_Toc448326850"/>
      <w:bookmarkStart w:id="23" w:name="_Toc452366757"/>
      <w:r>
        <w:t>RESSOURCES MISES A DISPOSITION</w:t>
      </w:r>
      <w:bookmarkEnd w:id="22"/>
      <w:bookmarkEnd w:id="23"/>
    </w:p>
    <w:p w:rsidR="00C019BA" w:rsidRDefault="00C019BA" w:rsidP="00C019BA">
      <w:pPr>
        <w:pStyle w:val="CACCorps"/>
      </w:pPr>
    </w:p>
    <w:p w:rsidR="00C019BA" w:rsidRDefault="00C019BA">
      <w:pPr>
        <w:jc w:val="left"/>
      </w:pPr>
      <w:r>
        <w:br w:type="page"/>
      </w:r>
    </w:p>
    <w:p w:rsidR="00C019BA" w:rsidRDefault="00C019BA" w:rsidP="00C019BA">
      <w:pPr>
        <w:pStyle w:val="CACCorps"/>
      </w:pPr>
    </w:p>
    <w:p w:rsidR="00C019BA" w:rsidRDefault="00C019BA" w:rsidP="00E714F0">
      <w:pPr>
        <w:pStyle w:val="CACTitre1"/>
        <w:numPr>
          <w:ilvl w:val="0"/>
          <w:numId w:val="6"/>
        </w:numPr>
      </w:pPr>
      <w:bookmarkStart w:id="24" w:name="_Toc452366758"/>
      <w:r>
        <w:t xml:space="preserve">IFRIC 1 – </w:t>
      </w:r>
      <w:r w:rsidRPr="00AD2BAB">
        <w:t>Variation des passifs existants relatifs au démantèlement, à la remise en état et similaires</w:t>
      </w:r>
      <w:bookmarkEnd w:id="24"/>
    </w:p>
    <w:p w:rsidR="00C019BA" w:rsidRPr="00DD09B7" w:rsidRDefault="00C019BA" w:rsidP="00C019BA"/>
    <w:p w:rsidR="00C019BA" w:rsidRDefault="00C019BA" w:rsidP="00C019BA">
      <w:pPr>
        <w:pStyle w:val="CACTitre2"/>
      </w:pPr>
      <w:bookmarkStart w:id="25" w:name="_Toc452366759"/>
      <w:r>
        <w:t>HISTORIQUE</w:t>
      </w:r>
      <w:bookmarkEnd w:id="25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26" w:name="_Toc452366760"/>
      <w:r>
        <w:t>Historique au niveau de l’Union européenne</w:t>
      </w:r>
      <w:bookmarkEnd w:id="26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5"/>
        <w:gridCol w:w="1916"/>
        <w:gridCol w:w="1199"/>
        <w:gridCol w:w="1182"/>
        <w:gridCol w:w="1185"/>
        <w:gridCol w:w="1168"/>
        <w:gridCol w:w="1130"/>
      </w:tblGrid>
      <w:tr w:rsidR="00C019BA" w:rsidRPr="00AD2BAB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AD2BAB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Variation des passifs existants relatifs au démantèlement, à la remise en état et similaires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27/05/2004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AD2BAB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suite à la révision d'IAS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AD2BAB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AD2BAB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AD2BAB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27" w:name="_Toc452366761"/>
      <w:r>
        <w:t>Textes en cours d’adoption par la Communauté européenne</w:t>
      </w:r>
      <w:bookmarkEnd w:id="27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28" w:name="_Toc452366762"/>
      <w:r>
        <w:t>Textes en cours d’adoption par l’IASB</w:t>
      </w:r>
      <w:bookmarkEnd w:id="28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Titre3"/>
      </w:pPr>
      <w:bookmarkStart w:id="29" w:name="_Toc452366763"/>
      <w:r>
        <w:t>Projets IASB</w:t>
      </w:r>
      <w:bookmarkEnd w:id="29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30" w:name="_Toc452366764"/>
      <w:r>
        <w:t>NORMES ET INTERPRETATIONS LIEES</w:t>
      </w:r>
      <w:bookmarkEnd w:id="30"/>
    </w:p>
    <w:p w:rsidR="00C019BA" w:rsidRDefault="00C019BA" w:rsidP="00C019BA">
      <w:pPr>
        <w:pStyle w:val="CACCorps"/>
      </w:pPr>
    </w:p>
    <w:p w:rsidR="00C019BA" w:rsidRDefault="00C019BA" w:rsidP="00E714F0">
      <w:pPr>
        <w:pStyle w:val="CACCorps"/>
        <w:numPr>
          <w:ilvl w:val="0"/>
          <w:numId w:val="8"/>
        </w:numPr>
      </w:pPr>
      <w:r>
        <w:t xml:space="preserve">IAS 37 – </w:t>
      </w:r>
      <w:r w:rsidRPr="00C0539C">
        <w:rPr>
          <w:i/>
        </w:rPr>
        <w:t>Provisions, Passifs éventuels et actifs éventuels</w:t>
      </w:r>
    </w:p>
    <w:p w:rsidR="00C019BA" w:rsidRDefault="00C019BA" w:rsidP="00C019BA">
      <w:pPr>
        <w:pStyle w:val="CACCorps"/>
        <w:ind w:left="766"/>
      </w:pPr>
    </w:p>
    <w:p w:rsidR="00C019BA" w:rsidRDefault="00C019BA" w:rsidP="00C019BA">
      <w:pPr>
        <w:pStyle w:val="CACTitre2"/>
      </w:pPr>
      <w:bookmarkStart w:id="31" w:name="_Toc452366765"/>
      <w:r>
        <w:t>REJETS IFRIC LIES</w:t>
      </w:r>
      <w:bookmarkEnd w:id="31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32" w:name="_Toc452366766"/>
      <w:r>
        <w:t>RECOMMANDATIONS AMF ET DECISIONS ESMA</w:t>
      </w:r>
      <w:bookmarkEnd w:id="32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33" w:name="_Toc452366767"/>
      <w:r>
        <w:t>Recommandations AMF</w:t>
      </w:r>
      <w:bookmarkEnd w:id="33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Aucune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34" w:name="_Toc452366768"/>
      <w:r>
        <w:t>Décisions ESMA</w:t>
      </w:r>
      <w:bookmarkEnd w:id="34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Aucune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35" w:name="_Toc452366769"/>
      <w:r>
        <w:t>RAPPELS SUR L’INTERPRETATION</w:t>
      </w:r>
      <w:bookmarkEnd w:id="35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36" w:name="_Toc452366770"/>
      <w:r>
        <w:t>RESSOURCES MISES A DISPOSITION</w:t>
      </w:r>
      <w:bookmarkEnd w:id="36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1"/>
      </w:pPr>
      <w:bookmarkStart w:id="37" w:name="_Toc452366771"/>
      <w:r>
        <w:t xml:space="preserve">IFRIC 6 – </w:t>
      </w:r>
      <w:r w:rsidRPr="005A2BBE">
        <w:t>Passifs découlant de la participation à un marché déterminé — Déchets d'équipements électriques et électroniques</w:t>
      </w:r>
      <w:bookmarkEnd w:id="37"/>
    </w:p>
    <w:p w:rsidR="00C019BA" w:rsidRPr="00DD09B7" w:rsidRDefault="00C019BA" w:rsidP="00C019BA"/>
    <w:p w:rsidR="00C019BA" w:rsidRDefault="00C019BA" w:rsidP="00C019BA">
      <w:pPr>
        <w:pStyle w:val="CACTitre2"/>
      </w:pPr>
      <w:bookmarkStart w:id="38" w:name="_Toc452366772"/>
      <w:r>
        <w:t>HISTORIQUE</w:t>
      </w:r>
      <w:bookmarkEnd w:id="38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39" w:name="_Toc452366773"/>
      <w:r>
        <w:t>Historique au niveau de l’Union européenne</w:t>
      </w:r>
      <w:bookmarkEnd w:id="39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2066"/>
        <w:gridCol w:w="1206"/>
        <w:gridCol w:w="1197"/>
        <w:gridCol w:w="1190"/>
        <w:gridCol w:w="1181"/>
        <w:gridCol w:w="1137"/>
      </w:tblGrid>
      <w:tr w:rsidR="00C019BA" w:rsidRPr="005A2BBE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5A2BBE" w:rsidTr="00C019B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Passifs découlant de la participation à un marché déterminé — Déchets d'équipements électriques et électroniques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01/09/2005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40" w:name="_Toc452366774"/>
      <w:r>
        <w:t>Textes en cours d’adoption par la Communauté européenne</w:t>
      </w:r>
      <w:bookmarkEnd w:id="40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41" w:name="_Toc452366775"/>
      <w:r>
        <w:t>Textes en cours d’adoption par l’IASB</w:t>
      </w:r>
      <w:bookmarkEnd w:id="41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Titre3"/>
      </w:pPr>
      <w:bookmarkStart w:id="42" w:name="_Toc452366776"/>
      <w:r>
        <w:t>Projets IASB</w:t>
      </w:r>
      <w:bookmarkEnd w:id="42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43" w:name="_Toc452366777"/>
      <w:r>
        <w:t>NORMES ET INTERPRETATIONS LIEES</w:t>
      </w:r>
      <w:bookmarkEnd w:id="43"/>
    </w:p>
    <w:p w:rsidR="00C019BA" w:rsidRDefault="00C019BA" w:rsidP="00C019BA">
      <w:pPr>
        <w:pStyle w:val="CACCorps"/>
      </w:pPr>
    </w:p>
    <w:p w:rsidR="00C019BA" w:rsidRPr="00C0539C" w:rsidRDefault="00C019BA" w:rsidP="00E714F0">
      <w:pPr>
        <w:pStyle w:val="CACCorps"/>
        <w:numPr>
          <w:ilvl w:val="0"/>
          <w:numId w:val="8"/>
        </w:numPr>
      </w:pPr>
      <w:r>
        <w:t xml:space="preserve">IAS 37 – </w:t>
      </w:r>
      <w:r w:rsidRPr="00C0539C">
        <w:rPr>
          <w:i/>
        </w:rPr>
        <w:t>Provisions, Passifs éventuels et actifs éventuels</w:t>
      </w:r>
    </w:p>
    <w:p w:rsidR="00C019BA" w:rsidRDefault="00C019BA" w:rsidP="00E714F0">
      <w:pPr>
        <w:pStyle w:val="CACCorps"/>
        <w:numPr>
          <w:ilvl w:val="0"/>
          <w:numId w:val="8"/>
        </w:numPr>
      </w:pPr>
      <w:r>
        <w:t xml:space="preserve">IFRIC 21 – </w:t>
      </w:r>
      <w:r w:rsidRPr="00C0539C">
        <w:rPr>
          <w:i/>
        </w:rPr>
        <w:t>Droits et Taxes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44" w:name="_Toc452366778"/>
      <w:r>
        <w:t>REJETS IFRIC LIES</w:t>
      </w:r>
      <w:bookmarkEnd w:id="44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>
      <w:pPr>
        <w:jc w:val="left"/>
      </w:pPr>
      <w:r>
        <w:br w:type="page"/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45" w:name="_Toc452366779"/>
      <w:r>
        <w:t>RECOMMANDATIONS AMF ET DECISIONS ESMA</w:t>
      </w:r>
      <w:bookmarkEnd w:id="45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46" w:name="_Toc452366780"/>
      <w:r>
        <w:t>Recommandations AMF</w:t>
      </w:r>
      <w:bookmarkEnd w:id="46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Aucune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47" w:name="_Toc452366781"/>
      <w:r>
        <w:t>Décisions ESMA</w:t>
      </w:r>
      <w:bookmarkEnd w:id="47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Aucune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48" w:name="_Toc452366782"/>
      <w:r>
        <w:t>RAPPELS SUR L’INTERPRETATION</w:t>
      </w:r>
      <w:bookmarkEnd w:id="48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49" w:name="_Toc452366783"/>
      <w:r>
        <w:t>RESSOURCES MISES A DISPOSITION</w:t>
      </w:r>
      <w:bookmarkEnd w:id="49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1"/>
        <w:numPr>
          <w:ilvl w:val="0"/>
          <w:numId w:val="4"/>
        </w:numPr>
      </w:pPr>
      <w:bookmarkStart w:id="50" w:name="_Toc452366784"/>
      <w:r>
        <w:t>IAS 19 – Avantages du personnel</w:t>
      </w:r>
      <w:bookmarkEnd w:id="50"/>
      <w:r>
        <w:t xml:space="preserve"> </w:t>
      </w:r>
    </w:p>
    <w:p w:rsidR="00C019BA" w:rsidRPr="00DD09B7" w:rsidRDefault="00C019BA" w:rsidP="00C019BA"/>
    <w:p w:rsidR="00C019BA" w:rsidRDefault="00C019BA" w:rsidP="00C019BA">
      <w:pPr>
        <w:pStyle w:val="CACTitre2"/>
      </w:pPr>
      <w:bookmarkStart w:id="51" w:name="_Toc452366785"/>
      <w:r>
        <w:t>HISTORIQUE</w:t>
      </w:r>
      <w:bookmarkEnd w:id="51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52" w:name="_Toc452366786"/>
      <w:r>
        <w:t>Historique au niveau de l’Union européenne</w:t>
      </w:r>
      <w:bookmarkEnd w:id="52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2"/>
        <w:gridCol w:w="1893"/>
        <w:gridCol w:w="1203"/>
        <w:gridCol w:w="1190"/>
        <w:gridCol w:w="1188"/>
        <w:gridCol w:w="1175"/>
        <w:gridCol w:w="1134"/>
      </w:tblGrid>
      <w:tr w:rsidR="00C019BA" w:rsidRPr="005D44D3" w:rsidTr="00C019BA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Avantages du personnel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1, IAS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sur les gains et pertes actuariels, les régimes de groupes et les informations à fournir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Réductions et coûts des se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</w:t>
            </w: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vices passés négatifs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Avantages du personnel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Cotisations des membres du personnel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21/11/2013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2012-2014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Clarification sur la détermination du taux d’actualisation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15/12/2015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53" w:name="_Toc452366787"/>
      <w:r>
        <w:t>Textes en cours d’adoption par la Communauté européenne</w:t>
      </w:r>
      <w:bookmarkEnd w:id="53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54" w:name="_Toc452366788"/>
      <w:r>
        <w:t>Textes en cours d’adoption par l’IASB</w:t>
      </w:r>
      <w:bookmarkEnd w:id="54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Titre3"/>
      </w:pPr>
      <w:bookmarkStart w:id="55" w:name="_Toc452366789"/>
      <w:r>
        <w:t>Projets IASB</w:t>
      </w:r>
      <w:bookmarkEnd w:id="55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56" w:name="_Toc452366790"/>
      <w:r>
        <w:t>NORMES ET INTERPRETATIONS LIEES</w:t>
      </w:r>
      <w:bookmarkEnd w:id="56"/>
    </w:p>
    <w:p w:rsidR="00C019BA" w:rsidRDefault="00C019BA" w:rsidP="00C019BA">
      <w:pPr>
        <w:pStyle w:val="CACCorps"/>
      </w:pPr>
    </w:p>
    <w:p w:rsidR="00C019BA" w:rsidRPr="002C62CA" w:rsidRDefault="00C019BA" w:rsidP="00E714F0">
      <w:pPr>
        <w:pStyle w:val="CACCorps"/>
        <w:numPr>
          <w:ilvl w:val="0"/>
          <w:numId w:val="9"/>
        </w:numPr>
      </w:pPr>
      <w:r>
        <w:t xml:space="preserve">IFRIC 14 – </w:t>
      </w:r>
      <w:r w:rsidRPr="002C62CA">
        <w:rPr>
          <w:i/>
        </w:rPr>
        <w:t>Le plafonnement de l’actif au titre des régimes à prestations définies, les exigences de financement minimal et leur interaction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57" w:name="_Toc452366791"/>
      <w:r>
        <w:t>REJETS IFRIC LIES</w:t>
      </w:r>
      <w:bookmarkEnd w:id="57"/>
    </w:p>
    <w:p w:rsidR="00C019BA" w:rsidRDefault="00C019BA" w:rsidP="00C019BA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C019BA" w:rsidRPr="002C62CA" w:rsidTr="00C019BA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C019BA" w:rsidRPr="002C62CA" w:rsidTr="00C019BA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Taux d'actualisation avant impôt ou après impôt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16/07/2013</w:t>
            </w:r>
          </w:p>
        </w:tc>
      </w:tr>
      <w:tr w:rsidR="00C019BA" w:rsidRPr="002C62CA" w:rsidTr="00C019BA">
        <w:trPr>
          <w:trHeight w:val="21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Hypothèses actuarielles du taux d'actualisation. Clarifications sur les obligations de sociétés ayant u</w:t>
            </w:r>
            <w:r>
              <w:rPr>
                <w:rFonts w:eastAsia="Times New Roman" w:cs="Times New Roman"/>
                <w:color w:val="000000"/>
                <w:lang w:eastAsia="fr-FR"/>
              </w:rPr>
              <w:t>ne notation inférieure à «AA» pe</w:t>
            </w:r>
            <w:r w:rsidRPr="002C62CA">
              <w:rPr>
                <w:rFonts w:eastAsia="Times New Roman" w:cs="Times New Roman"/>
                <w:color w:val="000000"/>
                <w:lang w:eastAsia="fr-FR"/>
              </w:rPr>
              <w:t>uvent être considérés comme des obligations de sociétés de haute qualité dans le cadre du calcul de l'obligation au titre des prestations définies pour les avantages postérieurs à l'emploi.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12/11/2013</w:t>
            </w:r>
          </w:p>
        </w:tc>
      </w:tr>
      <w:tr w:rsidR="00C019BA" w:rsidRPr="002C62CA" w:rsidTr="00C019BA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Avantages sociaux plans avec un rendement garanti sur les cotisations ou contributions théoriques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22/05/2014</w:t>
            </w:r>
          </w:p>
        </w:tc>
      </w:tr>
      <w:tr w:rsidR="00C019BA" w:rsidRPr="002C62CA" w:rsidTr="00C019BA">
        <w:trPr>
          <w:trHeight w:val="15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La longévité des swaps détenus dans le cadre d'un régime à prestations définies doivent-il être évalués à la juste valeur dans le cadre des actifs du régime ou sur une autre base comme une police d'assurance qualifiée?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24/03/2015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>
      <w:pPr>
        <w:jc w:val="left"/>
      </w:pPr>
      <w:r>
        <w:br w:type="page"/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58" w:name="_Toc452366792"/>
      <w:r>
        <w:t>RECOMMANDATIONS AMF ET DECISIONS ESMA</w:t>
      </w:r>
      <w:bookmarkEnd w:id="58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59" w:name="_Toc452366793"/>
      <w:r>
        <w:t>Recommandations AMF</w:t>
      </w:r>
      <w:bookmarkEnd w:id="59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617"/>
        <w:gridCol w:w="1077"/>
        <w:gridCol w:w="1627"/>
        <w:gridCol w:w="1395"/>
      </w:tblGrid>
      <w:tr w:rsidR="00C019BA" w:rsidRPr="002C62CA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2C62CA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Information sur les taux d’actualisation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Information sur la détermination des rendements attendus sur les différents actifs de couverture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Analyse de sensibilité sur les paramètres de calcul des engagements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Information rétrospective sur les avantages postérieurs à l’emploi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Taux d’actualisation des avantages postérieurs à l’emploi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Avantages du personnel : quelques impacts liés à l’application de la norme IAS 19 révisée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Taux d’actualisation des engagements de retraite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 - Taux d'intérêt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60" w:name="_Toc452366794"/>
      <w:r>
        <w:t>Décisions ESMA</w:t>
      </w:r>
      <w:bookmarkEnd w:id="60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3733"/>
        <w:gridCol w:w="1280"/>
        <w:gridCol w:w="1789"/>
        <w:gridCol w:w="1593"/>
      </w:tblGrid>
      <w:tr w:rsidR="00C019BA" w:rsidRPr="002C62CA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2C62CA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Changement comptable des avantages du personnel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Etats financiers semestriels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03/03/2008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Indemnités postérieures à l'emploi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Exigences de financement minimum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01/09/2011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2C62CA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à fournir sur les régimes d'avantages postérieurs à l'emploi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EECS/0215-03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61" w:name="_Toc452366795"/>
      <w:r>
        <w:t>RAPPELS SUR LA NORME</w:t>
      </w:r>
      <w:bookmarkEnd w:id="61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62" w:name="_Toc452366796"/>
      <w:r>
        <w:t>RESSOURCES MISES A DISPOSITION</w:t>
      </w:r>
      <w:bookmarkEnd w:id="62"/>
      <w:r>
        <w:t xml:space="preserve"> </w:t>
      </w:r>
    </w:p>
    <w:p w:rsidR="00C019BA" w:rsidRDefault="00C019BA" w:rsidP="00C019BA">
      <w:pPr>
        <w:pStyle w:val="CACCorps"/>
      </w:pPr>
    </w:p>
    <w:p w:rsidR="00C019BA" w:rsidRDefault="00C019BA">
      <w:pPr>
        <w:jc w:val="left"/>
      </w:pPr>
      <w:r>
        <w:br w:type="page"/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1"/>
        <w:numPr>
          <w:ilvl w:val="0"/>
          <w:numId w:val="4"/>
        </w:numPr>
      </w:pPr>
      <w:bookmarkStart w:id="63" w:name="_Toc452366797"/>
      <w:r>
        <w:t xml:space="preserve">IFRIC 14 – </w:t>
      </w:r>
      <w:r w:rsidRPr="005A2BBE">
        <w:t>Le plafonnement de l’actif au titre des régimes à prestations définies, les exigences de financement minimal et leur interaction</w:t>
      </w:r>
      <w:bookmarkEnd w:id="63"/>
    </w:p>
    <w:p w:rsidR="00C019BA" w:rsidRPr="00DD09B7" w:rsidRDefault="00C019BA" w:rsidP="00C019BA"/>
    <w:p w:rsidR="00C019BA" w:rsidRDefault="00C019BA" w:rsidP="00C019BA">
      <w:pPr>
        <w:pStyle w:val="CACTitre2"/>
      </w:pPr>
      <w:bookmarkStart w:id="64" w:name="_Toc452366798"/>
      <w:r>
        <w:t>HISTORIQUE</w:t>
      </w:r>
      <w:bookmarkEnd w:id="64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65" w:name="_Toc452366799"/>
      <w:r>
        <w:t>Historique au niveau de l’Union européenne</w:t>
      </w:r>
      <w:bookmarkEnd w:id="65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2034"/>
        <w:gridCol w:w="1186"/>
        <w:gridCol w:w="1156"/>
        <w:gridCol w:w="1174"/>
        <w:gridCol w:w="1144"/>
        <w:gridCol w:w="1115"/>
      </w:tblGrid>
      <w:tr w:rsidR="00C019BA" w:rsidRPr="005A2BBE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5A2BBE" w:rsidTr="00C019B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IAS 19 – Le plafonnement de l’actif au titre des régimes à prestations définies, les exigences de financement minimal et leur interaction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05/07/2007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A2BBE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A2BBE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Amendement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de l’interprétation IFRIC 14 Paiements d’avance d’exigences de financement minimal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15/09/2009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19/07/2010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A2BBE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à l'amendem</w:t>
            </w: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</w:t>
            </w: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 d'IAS 19 Informations sur les régimes de prestations définies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A2BBE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A2BB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66" w:name="_Toc452366800"/>
      <w:r>
        <w:t>Textes en cours d’adoption par la Communauté européenne</w:t>
      </w:r>
      <w:bookmarkEnd w:id="66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 xml:space="preserve">Aucun 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67" w:name="_Toc452366801"/>
      <w:r>
        <w:t>Textes en cours d’adoption par l’IASB</w:t>
      </w:r>
      <w:bookmarkEnd w:id="67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Titre3"/>
      </w:pPr>
      <w:bookmarkStart w:id="68" w:name="_Toc452366802"/>
      <w:r>
        <w:t>Projets IASB</w:t>
      </w:r>
      <w:bookmarkEnd w:id="68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69" w:name="_Toc452366803"/>
      <w:r>
        <w:t>NORMES ET INTERPRETATIONS LIEES</w:t>
      </w:r>
      <w:bookmarkEnd w:id="69"/>
    </w:p>
    <w:p w:rsidR="00C019BA" w:rsidRDefault="00C019BA" w:rsidP="00C019BA">
      <w:pPr>
        <w:pStyle w:val="CACCorps"/>
      </w:pPr>
    </w:p>
    <w:p w:rsidR="00C019BA" w:rsidRDefault="00C019BA" w:rsidP="00E714F0">
      <w:pPr>
        <w:pStyle w:val="CACCorps"/>
        <w:numPr>
          <w:ilvl w:val="0"/>
          <w:numId w:val="9"/>
        </w:numPr>
      </w:pPr>
      <w:r>
        <w:t xml:space="preserve">IAS 19 – </w:t>
      </w:r>
      <w:r w:rsidRPr="002C62CA">
        <w:rPr>
          <w:i/>
        </w:rPr>
        <w:t xml:space="preserve">Avantages </w:t>
      </w:r>
      <w:r>
        <w:rPr>
          <w:i/>
        </w:rPr>
        <w:t>d</w:t>
      </w:r>
      <w:r w:rsidRPr="002C62CA">
        <w:rPr>
          <w:i/>
        </w:rPr>
        <w:t>u personnel</w:t>
      </w:r>
    </w:p>
    <w:p w:rsidR="00C019BA" w:rsidRDefault="00C019BA" w:rsidP="00C019BA">
      <w:pPr>
        <w:pStyle w:val="CACCorps"/>
      </w:pPr>
    </w:p>
    <w:p w:rsidR="00C019BA" w:rsidRDefault="00C019BA">
      <w:pPr>
        <w:jc w:val="left"/>
      </w:pPr>
      <w:r>
        <w:br w:type="page"/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70" w:name="_Toc452366804"/>
      <w:r>
        <w:t>REJETS IFRIC LIES</w:t>
      </w:r>
      <w:bookmarkEnd w:id="70"/>
    </w:p>
    <w:p w:rsidR="00C019BA" w:rsidRDefault="00C019BA" w:rsidP="00C019BA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C019BA" w:rsidRPr="002C62CA" w:rsidTr="00C019BA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C019BA" w:rsidRPr="002C62CA" w:rsidTr="00C019BA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Doit</w:t>
            </w:r>
            <w:r>
              <w:rPr>
                <w:rFonts w:eastAsia="Times New Roman" w:cs="Times New Roman"/>
                <w:color w:val="000000"/>
                <w:lang w:eastAsia="fr-FR"/>
              </w:rPr>
              <w:t>-</w:t>
            </w:r>
            <w:r w:rsidRPr="002C62CA">
              <w:rPr>
                <w:rFonts w:eastAsia="Times New Roman" w:cs="Times New Roman"/>
                <w:color w:val="000000"/>
                <w:lang w:eastAsia="fr-FR"/>
              </w:rPr>
              <w:t>on prendre en considération la poursuite d'une obligation de financement minimal pour des cotisations relatives à des services futurs ?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lang w:eastAsia="fr-FR"/>
              </w:rPr>
              <w:t>14/07/2014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71" w:name="_Toc452366805"/>
      <w:r>
        <w:t>RECOMMANDATIONS AMF ET DECISIONS ESMA</w:t>
      </w:r>
      <w:bookmarkEnd w:id="71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72" w:name="_Toc452366806"/>
      <w:r>
        <w:t>Recommandations AMF</w:t>
      </w:r>
      <w:bookmarkEnd w:id="72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Aucune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73" w:name="_Toc452366807"/>
      <w:r>
        <w:t>Décisions ESMA</w:t>
      </w:r>
      <w:bookmarkEnd w:id="73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2977"/>
        <w:gridCol w:w="1339"/>
        <w:gridCol w:w="2196"/>
        <w:gridCol w:w="1884"/>
      </w:tblGrid>
      <w:tr w:rsidR="00C019BA" w:rsidRPr="002C62CA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2C62CA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Obligations de minimum de financement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01/09/2011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2C62CA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C62CA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74" w:name="_Toc452366808"/>
      <w:r>
        <w:t>RAPPELS SUR L’INTERPRETATION</w:t>
      </w:r>
      <w:bookmarkEnd w:id="74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2"/>
      </w:pPr>
      <w:bookmarkStart w:id="75" w:name="_Toc452366809"/>
      <w:r>
        <w:t>RESSOURCES MISES A DISPOSITION</w:t>
      </w:r>
      <w:bookmarkEnd w:id="75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1"/>
        <w:numPr>
          <w:ilvl w:val="0"/>
          <w:numId w:val="5"/>
        </w:numPr>
      </w:pPr>
      <w:bookmarkStart w:id="76" w:name="_Toc452366810"/>
      <w:r>
        <w:t>IFRS 2 – Paiement fondé sur des actions</w:t>
      </w:r>
      <w:bookmarkEnd w:id="76"/>
      <w:r>
        <w:t xml:space="preserve"> </w:t>
      </w:r>
    </w:p>
    <w:p w:rsidR="00C019BA" w:rsidRPr="00DD09B7" w:rsidRDefault="00C019BA" w:rsidP="00C019BA"/>
    <w:p w:rsidR="00C019BA" w:rsidRDefault="00C019BA" w:rsidP="00C019BA">
      <w:pPr>
        <w:pStyle w:val="CACTitre2"/>
      </w:pPr>
      <w:bookmarkStart w:id="77" w:name="_Toc452366811"/>
      <w:r>
        <w:t>HISTORIQUE</w:t>
      </w:r>
      <w:bookmarkEnd w:id="77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78" w:name="_Toc452366812"/>
      <w:r>
        <w:t>Historique au niveau de l’Union européenne</w:t>
      </w:r>
      <w:bookmarkEnd w:id="78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1855"/>
        <w:gridCol w:w="1211"/>
        <w:gridCol w:w="1207"/>
        <w:gridCol w:w="1195"/>
        <w:gridCol w:w="1190"/>
        <w:gridCol w:w="1143"/>
      </w:tblGrid>
      <w:tr w:rsidR="00C019BA" w:rsidRPr="005D44D3" w:rsidTr="00C019BA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Paiement fondé sur des actions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Traitement des conditions accessoires à l’acquisition des droits et annulations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Champ d'application d'IFRS2 et 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Transactions intra-groupe dont le paiement est fondé sur des actions et qui sont </w:t>
            </w: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réglées en trésorerie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16/06/2009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5D44D3" w:rsidTr="00C019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2010-2012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C019BA" w:rsidRPr="005D44D3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Définition de la notion de « condition d’acquisition de droits »(vesting condition)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C019BA" w:rsidRPr="005D44D3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D44D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79" w:name="_Toc452366813"/>
      <w:r>
        <w:t>Textes en cours d’adoption par la Communauté européenne</w:t>
      </w:r>
      <w:bookmarkEnd w:id="79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80" w:name="_Toc452366814"/>
      <w:r>
        <w:t>Textes en cours d’adoption par l’IASB</w:t>
      </w:r>
      <w:bookmarkEnd w:id="80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Titre3"/>
      </w:pPr>
      <w:bookmarkStart w:id="81" w:name="_Toc452366815"/>
      <w:r>
        <w:t>Projets IASB</w:t>
      </w:r>
      <w:bookmarkEnd w:id="81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</w:t>
      </w:r>
    </w:p>
    <w:p w:rsidR="00C019BA" w:rsidRDefault="00C019BA" w:rsidP="00C019BA">
      <w:pPr>
        <w:pStyle w:val="CACCorps"/>
      </w:pPr>
    </w:p>
    <w:p w:rsidR="00C019BA" w:rsidRDefault="004820D2" w:rsidP="00C019BA">
      <w:pPr>
        <w:pStyle w:val="CACTitre2"/>
      </w:pPr>
      <w:bookmarkStart w:id="82" w:name="_Toc452366816"/>
      <w:r>
        <w:t>NORMES ET INTERPRETATIONS LIEES</w:t>
      </w:r>
      <w:bookmarkEnd w:id="82"/>
    </w:p>
    <w:p w:rsidR="00C019BA" w:rsidRDefault="00C019BA" w:rsidP="00C019BA">
      <w:pPr>
        <w:pStyle w:val="CACCorps"/>
      </w:pPr>
    </w:p>
    <w:p w:rsidR="00C019BA" w:rsidRDefault="00C019BA" w:rsidP="00E714F0">
      <w:pPr>
        <w:pStyle w:val="CACCorps"/>
        <w:numPr>
          <w:ilvl w:val="0"/>
          <w:numId w:val="9"/>
        </w:numPr>
      </w:pPr>
      <w:r>
        <w:t xml:space="preserve">IFRIC 8 – </w:t>
      </w:r>
      <w:r w:rsidRPr="002C62CA">
        <w:rPr>
          <w:i/>
        </w:rPr>
        <w:t>Champ d’application d’IFRS 2.</w:t>
      </w:r>
      <w:r>
        <w:t xml:space="preserve"> Le texte a été abrogé suite à un amendement d’IFRS 2.</w:t>
      </w:r>
    </w:p>
    <w:p w:rsidR="00C019BA" w:rsidRDefault="00C019BA" w:rsidP="00E714F0">
      <w:pPr>
        <w:pStyle w:val="CACCorps"/>
        <w:numPr>
          <w:ilvl w:val="0"/>
          <w:numId w:val="9"/>
        </w:numPr>
      </w:pPr>
      <w:r>
        <w:t xml:space="preserve">IFRIC 11 - </w:t>
      </w:r>
      <w:r w:rsidRPr="007A3B01">
        <w:rPr>
          <w:i/>
        </w:rPr>
        <w:t>Actions propres et transactions intra-groupe</w:t>
      </w:r>
      <w:r>
        <w:t>. Le texte a été abrogé suite à un amendement d’IFRS 2.</w:t>
      </w:r>
    </w:p>
    <w:p w:rsidR="00C019BA" w:rsidRDefault="00C019BA" w:rsidP="00C019BA">
      <w:pPr>
        <w:pStyle w:val="CACCorps"/>
        <w:ind w:left="766"/>
      </w:pPr>
    </w:p>
    <w:p w:rsidR="00C019BA" w:rsidRDefault="004820D2" w:rsidP="00C019BA">
      <w:pPr>
        <w:pStyle w:val="CACTitre2"/>
      </w:pPr>
      <w:bookmarkStart w:id="83" w:name="_Toc452366817"/>
      <w:r>
        <w:t>REJETS</w:t>
      </w:r>
      <w:r w:rsidR="00C019BA">
        <w:t xml:space="preserve"> IFRIC </w:t>
      </w:r>
      <w:r>
        <w:t>LIES</w:t>
      </w:r>
      <w:bookmarkEnd w:id="83"/>
    </w:p>
    <w:p w:rsidR="00C019BA" w:rsidRDefault="00C019BA" w:rsidP="00C019BA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C019BA" w:rsidRPr="007A3B01" w:rsidTr="00C019BA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A3B0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A3B0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7A3B0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C019BA" w:rsidRPr="007A3B01" w:rsidTr="00C019BA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lang w:eastAsia="fr-FR"/>
              </w:rPr>
              <w:t>Différence de prix entre l'offre de prix institutionnelle et l'offre de prix au public pour des actions lors d'une introduction en bourse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lang w:eastAsia="fr-FR"/>
              </w:rPr>
              <w:t>15/05/2013</w:t>
            </w:r>
          </w:p>
        </w:tc>
      </w:tr>
      <w:tr w:rsidR="00C019BA" w:rsidRPr="007A3B01" w:rsidTr="00C019BA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lang w:eastAsia="fr-FR"/>
              </w:rPr>
              <w:t>Moment de la comptabilisation des refacturations intragroupes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lang w:eastAsia="fr-FR"/>
              </w:rPr>
              <w:t>15/05/2013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4820D2" w:rsidP="00C019BA">
      <w:pPr>
        <w:pStyle w:val="CACTitre2"/>
      </w:pPr>
      <w:bookmarkStart w:id="84" w:name="_Toc452366818"/>
      <w:r>
        <w:t>RECOMMANDATIONS</w:t>
      </w:r>
      <w:r w:rsidR="00C019BA">
        <w:t xml:space="preserve"> AMF </w:t>
      </w:r>
      <w:r>
        <w:t>ET DECISIONS</w:t>
      </w:r>
      <w:r w:rsidR="00C019BA">
        <w:t xml:space="preserve"> ESMA</w:t>
      </w:r>
      <w:bookmarkEnd w:id="84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85" w:name="_Toc452366819"/>
      <w:r>
        <w:t>Recommandations AMF</w:t>
      </w:r>
      <w:bookmarkEnd w:id="85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  <w:r>
        <w:t>Aucune</w:t>
      </w:r>
    </w:p>
    <w:p w:rsidR="000B55D6" w:rsidRDefault="000B55D6">
      <w:pPr>
        <w:jc w:val="left"/>
      </w:pPr>
      <w:r>
        <w:br w:type="page"/>
      </w:r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Titre3"/>
      </w:pPr>
      <w:bookmarkStart w:id="86" w:name="_Toc452366820"/>
      <w:r>
        <w:t>Décisions ESMA</w:t>
      </w:r>
      <w:bookmarkEnd w:id="86"/>
    </w:p>
    <w:p w:rsidR="00C019BA" w:rsidRDefault="00C019BA" w:rsidP="00C019BA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2989"/>
        <w:gridCol w:w="1338"/>
        <w:gridCol w:w="2190"/>
        <w:gridCol w:w="1879"/>
      </w:tblGrid>
      <w:tr w:rsidR="00C019BA" w:rsidRPr="007A3B01" w:rsidTr="00C019B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C019BA" w:rsidRPr="007A3B01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Plan dans le champ d'application d'IFRS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EECS/0209-02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7A3B01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Date d'octroi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EECS/0910-07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01/10/2008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C019BA" w:rsidRPr="007A3B01" w:rsidTr="00C019B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Paiement fondé sur des actions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9BA" w:rsidRPr="007A3B01" w:rsidRDefault="00C019BA" w:rsidP="00C019B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7A3B0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C019BA" w:rsidRDefault="00C019BA" w:rsidP="00C019BA">
      <w:pPr>
        <w:pStyle w:val="CACCorps"/>
      </w:pPr>
    </w:p>
    <w:p w:rsidR="00C019BA" w:rsidRDefault="004820D2" w:rsidP="00C019BA">
      <w:pPr>
        <w:pStyle w:val="CACTitre2"/>
      </w:pPr>
      <w:bookmarkStart w:id="87" w:name="_Toc452366821"/>
      <w:r>
        <w:t>RAPPELS SUR LA NORME</w:t>
      </w:r>
      <w:bookmarkEnd w:id="87"/>
    </w:p>
    <w:p w:rsidR="00C019BA" w:rsidRDefault="00C019BA" w:rsidP="00C019BA">
      <w:pPr>
        <w:pStyle w:val="CACCorps"/>
      </w:pPr>
    </w:p>
    <w:p w:rsidR="00C019BA" w:rsidRDefault="00C019BA" w:rsidP="00C019BA">
      <w:pPr>
        <w:pStyle w:val="CACCorps"/>
      </w:pPr>
    </w:p>
    <w:p w:rsidR="00C019BA" w:rsidRDefault="004820D2" w:rsidP="00C019BA">
      <w:pPr>
        <w:pStyle w:val="CACTitre2"/>
      </w:pPr>
      <w:bookmarkStart w:id="88" w:name="_Toc452366822"/>
      <w:r>
        <w:t>RESSOURCES MISES A DISPOSITION</w:t>
      </w:r>
      <w:bookmarkEnd w:id="88"/>
    </w:p>
    <w:p w:rsidR="00C019BA" w:rsidRDefault="00C019BA" w:rsidP="00C019BA">
      <w:pPr>
        <w:pStyle w:val="CACCorps"/>
      </w:pPr>
    </w:p>
    <w:p w:rsidR="00C019BA" w:rsidRDefault="00987CD5" w:rsidP="000B55D6">
      <w:pPr>
        <w:pStyle w:val="CACCorps"/>
        <w:numPr>
          <w:ilvl w:val="0"/>
          <w:numId w:val="10"/>
        </w:numPr>
      </w:pPr>
      <w:hyperlink r:id="rId11" w:history="1">
        <w:r w:rsidR="00FF6757" w:rsidRPr="00FF6757">
          <w:rPr>
            <w:rStyle w:val="Lienhypertexte"/>
          </w:rPr>
          <w:t>QFC20.X001</w:t>
        </w:r>
      </w:hyperlink>
      <w:r w:rsidR="000B55D6">
        <w:t xml:space="preserve"> - Questionnaire de contrôle sur le paiement fondé sur des actions (IFRS 2)</w:t>
      </w:r>
    </w:p>
    <w:p w:rsidR="00CD4EF4" w:rsidRDefault="00CD4EF4" w:rsidP="004820D2">
      <w:pPr>
        <w:pStyle w:val="CACCorps"/>
      </w:pPr>
    </w:p>
    <w:p w:rsidR="00CD4EF4" w:rsidRDefault="00CD4EF4" w:rsidP="004820D2">
      <w:pPr>
        <w:pStyle w:val="CACCorps"/>
      </w:pPr>
    </w:p>
    <w:p w:rsidR="00165177" w:rsidRPr="004855CD" w:rsidRDefault="00165177" w:rsidP="004820D2">
      <w:pPr>
        <w:pStyle w:val="CACCorps"/>
      </w:pPr>
    </w:p>
    <w:sectPr w:rsidR="00165177" w:rsidRPr="004855CD" w:rsidSect="0012765C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50A" w:rsidRDefault="00E1350A" w:rsidP="00706B95">
      <w:r>
        <w:separator/>
      </w:r>
    </w:p>
  </w:endnote>
  <w:endnote w:type="continuationSeparator" w:id="0">
    <w:p w:rsidR="00E1350A" w:rsidRDefault="00E1350A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9BA" w:rsidRDefault="00C019BA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9598F9" wp14:editId="371A769A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019BA" w:rsidRDefault="00C019BA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 w:rsidR="00FF6757">
                            <w:rPr>
                              <w:b/>
                              <w:color w:val="241820" w:themeColor="accent4" w:themeShade="80"/>
                            </w:rPr>
                            <w:t>Août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 201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6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E50D53">
                            <w:rPr>
                              <w:b/>
                              <w:color w:val="241820" w:themeColor="accent4" w:themeShade="80"/>
                            </w:rPr>
                            <w:t xml:space="preserve">Chapitre </w:t>
                          </w:r>
                          <w:r w:rsidRPr="00C019BA">
                            <w:rPr>
                              <w:b/>
                              <w:color w:val="241820" w:themeColor="accent4" w:themeShade="80"/>
                            </w:rPr>
                            <w:t>2340 – Pa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ssifs non financiers, avantages</w:t>
                          </w:r>
                        </w:p>
                        <w:p w:rsidR="00C019BA" w:rsidRPr="00DA2B39" w:rsidRDefault="00C019BA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C019BA">
                            <w:rPr>
                              <w:b/>
                              <w:color w:val="241820" w:themeColor="accent4" w:themeShade="80"/>
                            </w:rPr>
                            <w:t>au personnel et paiement fondé sur des actions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9598F9"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28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C019BA" w:rsidRDefault="00C019BA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 w:rsidR="00FF6757">
                      <w:rPr>
                        <w:b/>
                        <w:color w:val="241820" w:themeColor="accent4" w:themeShade="80"/>
                      </w:rPr>
                      <w:t>Août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 201</w:t>
                    </w:r>
                    <w:r>
                      <w:rPr>
                        <w:b/>
                        <w:color w:val="241820" w:themeColor="accent4" w:themeShade="80"/>
                      </w:rPr>
                      <w:t>6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E50D53">
                      <w:rPr>
                        <w:b/>
                        <w:color w:val="241820" w:themeColor="accent4" w:themeShade="80"/>
                      </w:rPr>
                      <w:t xml:space="preserve">Chapitre </w:t>
                    </w:r>
                    <w:r w:rsidRPr="00C019BA">
                      <w:rPr>
                        <w:b/>
                        <w:color w:val="241820" w:themeColor="accent4" w:themeShade="80"/>
                      </w:rPr>
                      <w:t>2340 – Pa</w:t>
                    </w:r>
                    <w:r>
                      <w:rPr>
                        <w:b/>
                        <w:color w:val="241820" w:themeColor="accent4" w:themeShade="80"/>
                      </w:rPr>
                      <w:t>ssifs non financiers, avantages</w:t>
                    </w:r>
                  </w:p>
                  <w:p w:rsidR="00C019BA" w:rsidRPr="00DA2B39" w:rsidRDefault="00C019BA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C019BA">
                      <w:rPr>
                        <w:b/>
                        <w:color w:val="241820" w:themeColor="accent4" w:themeShade="80"/>
                      </w:rPr>
                      <w:t>au personnel et paiement fondé sur des actions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D44CC3D" wp14:editId="235BEEEB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35BCB3"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50A" w:rsidRDefault="00E1350A" w:rsidP="00706B95">
      <w:r>
        <w:separator/>
      </w:r>
    </w:p>
  </w:footnote>
  <w:footnote w:type="continuationSeparator" w:id="0">
    <w:p w:rsidR="00E1350A" w:rsidRDefault="00E1350A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9BA" w:rsidRDefault="00C019BA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B851B5" wp14:editId="61237700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019BA" w:rsidRPr="0058523B" w:rsidRDefault="00C019BA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987CD5" w:rsidRPr="00987CD5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2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987CD5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14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851B5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7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C019BA" w:rsidRPr="0058523B" w:rsidRDefault="00C019BA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987CD5" w:rsidRPr="00987CD5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2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987CD5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14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992A92" wp14:editId="1702E847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1D5D0F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E43D7"/>
    <w:multiLevelType w:val="hybridMultilevel"/>
    <w:tmpl w:val="8E78183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513C45"/>
    <w:multiLevelType w:val="hybridMultilevel"/>
    <w:tmpl w:val="CBD89BD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6EC6F46"/>
    <w:multiLevelType w:val="hybridMultilevel"/>
    <w:tmpl w:val="1DF2218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737D4ABC"/>
    <w:multiLevelType w:val="hybridMultilevel"/>
    <w:tmpl w:val="C596C24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7D1A20AD"/>
    <w:multiLevelType w:val="multilevel"/>
    <w:tmpl w:val="8C2C01B6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5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2F60"/>
    <w:rsid w:val="00034926"/>
    <w:rsid w:val="000A208C"/>
    <w:rsid w:val="000B55D6"/>
    <w:rsid w:val="000D236B"/>
    <w:rsid w:val="000D6C13"/>
    <w:rsid w:val="00116522"/>
    <w:rsid w:val="001231AF"/>
    <w:rsid w:val="0012765C"/>
    <w:rsid w:val="00165177"/>
    <w:rsid w:val="001A2723"/>
    <w:rsid w:val="001B0BCE"/>
    <w:rsid w:val="001F2D7A"/>
    <w:rsid w:val="00223A30"/>
    <w:rsid w:val="00232D74"/>
    <w:rsid w:val="00235B02"/>
    <w:rsid w:val="0027523B"/>
    <w:rsid w:val="00283853"/>
    <w:rsid w:val="0028777F"/>
    <w:rsid w:val="002A06C9"/>
    <w:rsid w:val="002C3791"/>
    <w:rsid w:val="002C594E"/>
    <w:rsid w:val="002D4C6D"/>
    <w:rsid w:val="002F4958"/>
    <w:rsid w:val="00370257"/>
    <w:rsid w:val="00374FE8"/>
    <w:rsid w:val="00396A8D"/>
    <w:rsid w:val="003B7949"/>
    <w:rsid w:val="003C0504"/>
    <w:rsid w:val="003E5E9F"/>
    <w:rsid w:val="00400B7A"/>
    <w:rsid w:val="00405446"/>
    <w:rsid w:val="004210AD"/>
    <w:rsid w:val="00453544"/>
    <w:rsid w:val="00464668"/>
    <w:rsid w:val="00470965"/>
    <w:rsid w:val="0048204F"/>
    <w:rsid w:val="004820D2"/>
    <w:rsid w:val="0049164E"/>
    <w:rsid w:val="00507E43"/>
    <w:rsid w:val="00510FB1"/>
    <w:rsid w:val="005309CE"/>
    <w:rsid w:val="0058523B"/>
    <w:rsid w:val="00590552"/>
    <w:rsid w:val="005C4DDC"/>
    <w:rsid w:val="005C5414"/>
    <w:rsid w:val="005D1AC7"/>
    <w:rsid w:val="00656DF2"/>
    <w:rsid w:val="00684825"/>
    <w:rsid w:val="006A665B"/>
    <w:rsid w:val="006B0623"/>
    <w:rsid w:val="00706B95"/>
    <w:rsid w:val="007430C0"/>
    <w:rsid w:val="00747FC1"/>
    <w:rsid w:val="0079078B"/>
    <w:rsid w:val="007B72A5"/>
    <w:rsid w:val="007E0487"/>
    <w:rsid w:val="00822370"/>
    <w:rsid w:val="00827DD2"/>
    <w:rsid w:val="0086530A"/>
    <w:rsid w:val="008B1B1A"/>
    <w:rsid w:val="008C3C87"/>
    <w:rsid w:val="00917252"/>
    <w:rsid w:val="00952337"/>
    <w:rsid w:val="00985251"/>
    <w:rsid w:val="00987CD5"/>
    <w:rsid w:val="009F2684"/>
    <w:rsid w:val="00A12123"/>
    <w:rsid w:val="00A157BB"/>
    <w:rsid w:val="00A521C4"/>
    <w:rsid w:val="00A94979"/>
    <w:rsid w:val="00A97E14"/>
    <w:rsid w:val="00AA5D89"/>
    <w:rsid w:val="00AB6EEF"/>
    <w:rsid w:val="00AE6E57"/>
    <w:rsid w:val="00AE782A"/>
    <w:rsid w:val="00AF3C27"/>
    <w:rsid w:val="00B66734"/>
    <w:rsid w:val="00BA15AB"/>
    <w:rsid w:val="00BC0BFC"/>
    <w:rsid w:val="00BE37AB"/>
    <w:rsid w:val="00BF15E4"/>
    <w:rsid w:val="00BF1BD6"/>
    <w:rsid w:val="00C019BA"/>
    <w:rsid w:val="00C17ACF"/>
    <w:rsid w:val="00C404FC"/>
    <w:rsid w:val="00C41132"/>
    <w:rsid w:val="00C436FD"/>
    <w:rsid w:val="00C802FA"/>
    <w:rsid w:val="00CA35AB"/>
    <w:rsid w:val="00CA45DC"/>
    <w:rsid w:val="00CD4EF4"/>
    <w:rsid w:val="00CF0659"/>
    <w:rsid w:val="00D4068A"/>
    <w:rsid w:val="00D47C40"/>
    <w:rsid w:val="00D66390"/>
    <w:rsid w:val="00DA2B39"/>
    <w:rsid w:val="00E00632"/>
    <w:rsid w:val="00E1350A"/>
    <w:rsid w:val="00E50D53"/>
    <w:rsid w:val="00E50D9E"/>
    <w:rsid w:val="00E64FC3"/>
    <w:rsid w:val="00E714F0"/>
    <w:rsid w:val="00E74A62"/>
    <w:rsid w:val="00EB04D7"/>
    <w:rsid w:val="00EB2DBB"/>
    <w:rsid w:val="00EB3AEC"/>
    <w:rsid w:val="00EC2488"/>
    <w:rsid w:val="00EE5E04"/>
    <w:rsid w:val="00EF2621"/>
    <w:rsid w:val="00F00733"/>
    <w:rsid w:val="00F04F2D"/>
    <w:rsid w:val="00F05CB7"/>
    <w:rsid w:val="00F178CD"/>
    <w:rsid w:val="00F360EB"/>
    <w:rsid w:val="00F63429"/>
    <w:rsid w:val="00F6595F"/>
    <w:rsid w:val="00F726BB"/>
    <w:rsid w:val="00F91BC0"/>
    <w:rsid w:val="00F93ACF"/>
    <w:rsid w:val="00FA0079"/>
    <w:rsid w:val="00FA0A35"/>
    <w:rsid w:val="00FD30CD"/>
    <w:rsid w:val="00FD3E5B"/>
    <w:rsid w:val="00FF3328"/>
    <w:rsid w:val="00FF4BA9"/>
    <w:rsid w:val="00FF6757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76EB2C3-4FBD-4889-A486-A5B8BC6E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827DD2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827DD2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../Outils%20et%20mod&#232;les/AUTRES%20MISSIONS/Q/QF/QFC/QFC20.X001.xls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Passifs non financiers, avantages au personnel et paiement fondé sur des actions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31BCB3-C9BB-4A0F-8B57-12F33F9B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3337</Words>
  <Characters>18358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2340</vt:lpstr>
    </vt:vector>
  </TitlesOfParts>
  <Company>Microsoft</Company>
  <LinksUpToDate>false</LinksUpToDate>
  <CharactersWithSpaces>21652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2340</dc:title>
  <dc:creator>ATH</dc:creator>
  <cp:lastModifiedBy>SCHNELL Aurelie</cp:lastModifiedBy>
  <cp:revision>5</cp:revision>
  <cp:lastPrinted>2020-11-19T14:44:00Z</cp:lastPrinted>
  <dcterms:created xsi:type="dcterms:W3CDTF">2016-05-30T08:12:00Z</dcterms:created>
  <dcterms:modified xsi:type="dcterms:W3CDTF">2020-11-19T14:44:00Z</dcterms:modified>
</cp:coreProperties>
</file>